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Ordinanze sindacali contingibili ed urgenti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nell'esaminare e provvedere in ordine alle richieste di accesso formulate da Consiglieri ai sensi dell'art. 43, co. 2 del T.U.E.L.;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B291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 xml:space="preserve">Fax </w:t>
            </w:r>
            <w:r>
              <w:rPr>
                <w:rFonts w:ascii="Arial" w:hAnsi="Arial"/>
              </w:rPr>
              <w:t>0384 253829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Modulo accesso art. 43, co. 2 del T.U.E.L. da parte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</w:t>
            </w:r>
            <w:r w:rsidRPr="007137E0">
              <w:rPr>
                <w:rFonts w:ascii="Arial" w:hAnsi="Arial"/>
              </w:rPr>
              <w:lastRenderedPageBreak/>
              <w:t>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 di accoglimento o rigetto: determinazione dirigenziale</w:t>
            </w:r>
          </w:p>
          <w:p w:rsidR="007B2505" w:rsidRDefault="009B2919">
            <w:pPr>
              <w:jc w:val="both"/>
            </w:pPr>
            <w:r>
              <w:rPr>
                <w:rFonts w:ascii="Arial" w:hAnsi="Arial"/>
              </w:rPr>
              <w:t>- Silenzio rifiuto decorsi 30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B291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2505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B2919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4D8DD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2026-06-06T20:33:00Z</dcterms:modified>
</cp:coreProperties>
</file>